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CESI小标宋-GB13000" w:hAnsi="CESI小标宋-GB13000" w:eastAsia="CESI小标宋-GB13000" w:cs="CESI小标宋-GB13000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CESI小标宋-GB13000" w:hAnsi="CESI小标宋-GB13000" w:eastAsia="CESI小标宋-GB13000" w:cs="CESI小标宋-GB13000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CESI小标宋-GB13000" w:hAnsi="CESI小标宋-GB13000" w:eastAsia="CESI小标宋-GB13000" w:cs="CESI小标宋-GB13000"/>
          <w:b/>
          <w:bCs/>
          <w:color w:val="auto"/>
          <w:sz w:val="44"/>
          <w:szCs w:val="44"/>
          <w:lang w:val="en-US" w:eastAsia="zh-CN"/>
        </w:rPr>
        <w:t>关于开展2022年下半年草原云·全区旗县级融媒体中心优秀作品评选活动的通知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CESI黑体-GB13000" w:hAnsi="CESI黑体-GB13000" w:eastAsia="CESI黑体-GB13000" w:cs="CESI黑体-GB13000"/>
          <w:b/>
          <w:bCs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为推进旗县级融媒体中心内容创优、质量创新，进一步鼓励基层新闻从业人员发扬敬业创新精神，多出精品、多出爆款，内蒙古日报社、自治区旗县级融媒体运营服务中心组织开展2022年下半年草原云·全区旗县级融媒体中心优秀作品评选活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，具体事宜如下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CESI黑体-GB13000" w:hAnsi="CESI黑体-GB13000" w:eastAsia="CESI黑体-GB13000" w:cs="CESI黑体-GB13000"/>
          <w:color w:val="auto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</w:rPr>
        <w:t>一、</w:t>
      </w:r>
      <w:r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  <w:t>参评</w:t>
      </w:r>
      <w:r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参评范围为103个旗县级融媒体中心及乌拉盖管理区融媒体中心、通辽经济开发区融媒体中心。以上融媒体中心原创制作发布的新媒体作品参评。作品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Hans"/>
        </w:rPr>
        <w:t>首发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时间为2022年</w:t>
      </w:r>
      <w:r>
        <w:rPr>
          <w:rFonts w:hint="default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7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月1日至</w:t>
      </w:r>
      <w:r>
        <w:rPr>
          <w:rFonts w:hint="default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12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default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30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上一年度在履行社会责任方面存在突出问题的融媒体中心，其主要负责人、直接当事人不得参评。近3年内有不良职业道德记录的新闻工作者单独采写或主编、主创的作品不得参评；参与采编制作的作品获奖，取消其个人获奖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参评作品应紧紧围绕重大主题宣传，坚持正确的政治方向、舆论导向，坚持马克思主义新闻观，主题鲜明，内容真实，新闻性强，形式新颖，传播力强，影响力大，社会效果好。在同等条件下，优先考虑短、实、新作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0"/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  <w:t>参评项目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1.图文作品包括文字消息、评论、通讯、深度报道、系列（连续、组合）报道，新闻摄影、新闻漫画等。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2.音视频作品包括音频、短视频、视频新闻、微电影、微纪录片、宣传片、人物VCR、VR、直播、动新闻等。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3.创意设计作品包括组图、长图、图解、海报、手绘、H5、版面设计、页面设计等。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4.动漫作品包括flash二维动画、3D动漫作品等。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5.融合报道作品充分应用信息网络技术，综合运用多媒体手段呈现新闻事件的作品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Hans"/>
        </w:rPr>
        <w:t>，如直播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6.应用创新作品应用信息网络技术，研发“新闻+服务”的信息服务创新产品，内容丰富、技术先进、形式新颖，实用性、服务性强，有较好的社会效益。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0"/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b/>
          <w:bCs/>
          <w:color w:val="auto"/>
          <w:sz w:val="32"/>
          <w:szCs w:val="32"/>
          <w:lang w:eastAsia="zh-CN"/>
        </w:rPr>
        <w:t>设奖数额和奖励办法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设奖总额不超过45个，其中一等奖不超过5个；二等奖不超过10个；三等奖不超过30个。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内蒙古日报社、自治区旗县级融媒体运营服务中心向获奖作品的作者、主创人员颁发证书，并发放奖金。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textAlignment w:val="auto"/>
        <w:outlineLvl w:val="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五、评选程序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各旗县级融媒体中心负责初评本单位新闻作品，将优秀新闻作品报送至自治区旗县级融媒体运营服务中心。自治区旗县级融媒体运营服务中心负责参评作品的资格审查，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确定参加定评作品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。内蒙古日报社、自治区旗县级融媒体运营服务中心成立评审委员会对参加定评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作品进行最终评审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评选出获奖作品。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六、关于违规问题的处罚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-US" w:eastAsia="zh-Hans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如发现参评作品、获奖作品有抄袭、虚假、失实，申报材料有造假、虚夸、篡改、伪造及未按规定程序推荐、评选等违规问题，一经查实，即撤销该作品参评或获奖资格。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黑体" w:hAnsi="宋体" w:eastAsia="黑体"/>
          <w:b/>
          <w:bCs/>
          <w:color w:val="0000FF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/>
          <w:bCs/>
          <w:color w:val="0000FF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2"/>
          <w:lang w:val="en-US" w:eastAsia="zh-Hans"/>
        </w:rPr>
        <w:t>报名方式</w:t>
      </w:r>
      <w:r>
        <w:rPr>
          <w:rFonts w:hint="eastAsia" w:ascii="黑体" w:hAnsi="宋体" w:eastAsia="黑体"/>
          <w:b/>
          <w:bCs/>
          <w:color w:val="0000FF"/>
          <w:sz w:val="32"/>
          <w:szCs w:val="32"/>
          <w:lang w:val="en-US" w:eastAsia="zh-Hans"/>
        </w:rPr>
        <w:t>及注意事项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1.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报名方式：填写2022年下半年草原云·全区旗县级融媒体中心优秀作品报名表表单（链接https://f.wps.cn/w/SVDX89r9/）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2.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注意事项：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（</w:t>
      </w: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）以单位推荐，不接受个人推荐；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（</w:t>
      </w: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）各融媒体中心严格审核把关，认真筛选，最多推荐5项参评作品；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（</w:t>
      </w: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3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）报名表单内须上传单位审核盖章后的《优秀作品推荐审核汇总表》（PDF格式）；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（</w:t>
      </w: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4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）主创人员以参评作品署名为准，后期不予修改；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（</w:t>
      </w: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5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）报名以填写报名表为准。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  <w:t>3.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>截止时间：2022年12月20日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 xml:space="preserve">联系人：任佳13644889523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1920" w:firstLineChars="600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Hans"/>
        </w:rPr>
        <w:t xml:space="preserve">吕艳霞15848905541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default" w:ascii="CESI仿宋-GB2312" w:hAnsi="CESI仿宋-GB2312" w:eastAsia="CESI仿宋-GB2312" w:cs="CESI仿宋-GB2312"/>
          <w:color w:val="0000FF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FF"/>
          <w:sz w:val="32"/>
          <w:szCs w:val="32"/>
          <w:lang w:val="en-US" w:eastAsia="zh-CN"/>
        </w:rPr>
        <w:t>附件：参评评选作品要求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内蒙古日报社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自治区旗县级融媒体运营服务中心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2022年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参评评选作品要求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一、文字质量要求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1.消息要求新闻性强，语言文字简明扼要，表述准确，逻辑清晰，有完整的新闻要素。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2.评论要求观点鲜明，论点正确、有新意，论据准确，论述精辟，论证有力。网络和新媒体评论要求体现传播环境和媒体特征。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3.通讯与深度报道要求主题鲜明，结构合理，选材典型，语言生动，感染力强。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二、图片质量要求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1.摄影组图最少3幅图片;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2.图片色彩丰富清晰、构图完整、表现力强。格式JPG、JPEG、PNG、BMP均可，单张图片大小不超过2M;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3.摄影作品需配以简要完整的标题和说明，标题要主旨鲜明、简练准确、新闻性强，说明内容导向正确、主题鲜明、表述准确、逻辑清晰;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4.投稿者应确保所投作品本身原貌及其所反映事件的真实性，原则上为纪实作品，谢绝电脑创意作品和艺术摄影，不得通过制图软件等方式对画面内容进行任何修改、增加或删减。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三、视频质量要求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1.短视频拍摄手法不限，画面连贯、内容完整、立意新颖，时长控制在1至5分钟;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2.视频画面应避免四周均为黑边的情况出现;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3.保证声音清晰可分辨，保证左右声道的完整性(立体声);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4.保证视频清晰度至少为高清;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5.剪辑应避免发生跳帧、花屏、场纹、无故黑屏等技术层面问题;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6.视频须音画同步;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7.视频格式:mp4、mov，单个文件大小最大4G;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8.如有视频简介，须言简意赅，清晰说明时间、地点、人物、惠件、人物姓名、职务等信息须在文字稿件中体现。如果视频中有同期声，须提供同期声文字。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四、平面设计作品要求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设计创意表现力强，要求原创性、创新性；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主题显明，系列性强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设计、构图应有艺术性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色彩搭配要和谐。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FD2997"/>
    <w:multiLevelType w:val="singleLevel"/>
    <w:tmpl w:val="ECFD29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mU0NTk4NThmZDVmNDZhY2Y2MjQ5M2RlYWQ4MzgifQ=="/>
  </w:docVars>
  <w:rsids>
    <w:rsidRoot w:val="E9F51BF2"/>
    <w:rsid w:val="02D037B2"/>
    <w:rsid w:val="1CF3E88F"/>
    <w:rsid w:val="50CF0403"/>
    <w:rsid w:val="77FF5F34"/>
    <w:rsid w:val="7ACFF14A"/>
    <w:rsid w:val="7FF47508"/>
    <w:rsid w:val="A3F7B0AE"/>
    <w:rsid w:val="BFD43FEC"/>
    <w:rsid w:val="D57C716C"/>
    <w:rsid w:val="E9F51BF2"/>
    <w:rsid w:val="EFBB7802"/>
    <w:rsid w:val="EFFFD2E0"/>
    <w:rsid w:val="FBBC34BD"/>
    <w:rsid w:val="FEB819C0"/>
    <w:rsid w:val="FFCA8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/>
      <w:sz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1906</Words>
  <Characters>2038</Characters>
  <Lines>0</Lines>
  <Paragraphs>0</Paragraphs>
  <TotalTime>31</TotalTime>
  <ScaleCrop>false</ScaleCrop>
  <LinksUpToDate>false</LinksUpToDate>
  <CharactersWithSpaces>2098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2022-12-07T07:19:00Z</dcterms:created>
  <dc:creator>马莉雅</dc:creator>
  <cp:lastModifiedBy>醒</cp:lastModifiedBy>
  <dcterms:modified xsi:type="dcterms:W3CDTF">2022-12-07T02:36:10Z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52F9270941CB431E99729A71C77AC575</vt:lpwstr>
  </property>
</Properties>
</file>